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b/>
        </w:rPr>
        <w:t xml:space="preserve">Memo No.: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767171" w:themeColor="background2" w:themeShade="80"/>
        </w:rPr>
        <w:t xml:space="preserve">DD-MM-YYYY</w:t>
      </w:r>
      <w:r>
        <w:rPr>
          <w:rFonts w:ascii="Times New Roman" w:hAnsi="Times New Roman" w:cs="Times New Roman"/>
          <w:color w:val="767171" w:themeColor="background2" w:themeShade="80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Bangladesh Computer Council (BCC)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</w:t>
      </w:r>
      <w:r>
        <w:rPr>
          <w:rFonts w:ascii="Times New Roman" w:hAnsi="Times New Roman" w:cs="Times New Roman"/>
          <w:b/>
        </w:rPr>
        <w:t xml:space="preserve">Attention:</w:t>
      </w:r>
      <w:r>
        <w:rPr>
          <w:rFonts w:ascii="Times New Roman" w:hAnsi="Times New Roman" w:cs="Times New Roman"/>
        </w:rPr>
        <w:t xml:space="preserve"> Director, National Data Center,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Bangladesh Computer Council]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38"/>
        <w:pBdr/>
        <w:shd w:val="clear" w:color="auto" w:fill="f8f9fa"/>
        <w:spacing w:line="240" w:lineRule="atLeast"/>
        <w:ind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Subject:</w:t>
      </w:r>
      <w:r>
        <w:rPr>
          <w:rFonts w:ascii="Times New Roman" w:hAnsi="Times New Roman" w:cs="Times New Roman"/>
        </w:rPr>
        <w:t xml:space="preserve"> Request</w:t>
      </w:r>
      <w:r>
        <w:rPr>
          <w:rFonts w:ascii="Times New Roman" w:hAnsi="Times New Roman" w:cs="Times New Roman"/>
        </w:rPr>
        <w:t xml:space="preserve">ing to increase current quota of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eGovCloud Service Account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 </w:t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738"/>
        <w:pBdr/>
        <w:shd w:val="clear" w:color="auto" w:fill="f8f9fa"/>
        <w:spacing w:line="540" w:lineRule="atLeast"/>
        <w:ind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  <w:t xml:space="preserve">Sir, </w:t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738"/>
        <w:pBdr/>
        <w:shd w:val="clear" w:color="auto" w:fill="f8f9fa"/>
        <w:spacing/>
        <w:ind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  <w:t xml:space="preserve">According to the letter sent on (</w:t>
      </w:r>
      <w:r>
        <w:rPr>
          <w:rFonts w:ascii="Times New Roman" w:hAnsi="Times New Roman" w:cs="Times New Roman"/>
          <w:color w:val="767171" w:themeColor="background2" w:themeShade="80"/>
        </w:rPr>
        <w:t xml:space="preserve">DD-MM-YYYY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), we’ve already received the NDC provided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eGovCloud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Service to host our organization application. Due to increase of demand, our existing hosting service became slow. So we need to increase the computing resources of the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eGovCloud Service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. In this state management have taken decision to upgrade our existing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eGovCloud Service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. </w:t>
      </w:r>
      <w:r>
        <w:rPr>
          <w:rFonts w:ascii="Times New Roman" w:hAnsi="Times New Roman" w:cs="Times New Roman" w:eastAsiaTheme="minorHAnsi"/>
          <w:sz w:val="22"/>
          <w:szCs w:val="22"/>
        </w:rPr>
      </w:r>
    </w:p>
    <w:tbl>
      <w:tblPr>
        <w:tblStyle w:val="733"/>
        <w:tblW w:w="0" w:type="auto"/>
        <w:tblBorders/>
        <w:tblLook w:val="04A0" w:firstRow="1" w:lastRow="0" w:firstColumn="1" w:lastColumn="0" w:noHBand="0" w:noVBand="1"/>
      </w:tblPr>
      <w:tblGrid>
        <w:gridCol w:w="3685"/>
        <w:gridCol w:w="1890"/>
        <w:gridCol w:w="3441"/>
      </w:tblGrid>
      <w:tr>
        <w:trPr>
          <w:trHeight w:val="439"/>
        </w:trPr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Customer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ID 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NDC00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for billing team an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d official purpose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89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অ্যাকাউন্ট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এর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সম্প্রসারণের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নাম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  <w:tc>
          <w:tcPr>
            <w:tcBorders/>
            <w:tcW w:w="344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সম্প্রসারণের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প্রয়</w:t>
            </w:r>
            <w:r>
              <w:rPr>
                <w:rFonts w:hint="cs" w:ascii="Nikosh" w:hAnsi="Nikosh" w:cs="Nikosh"/>
                <w:sz w:val="24"/>
                <w:szCs w:val="24"/>
                <w:cs/>
                <w:lang w:bidi="bn-IN"/>
              </w:rPr>
              <w:t xml:space="preserve">ো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জনীয়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অ্যাকাউন্ট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এর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তথ্যাদি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  <w:tc>
          <w:tcPr>
            <w:tcBorders/>
            <w:tcW w:w="18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/>
            <w:tcW w:w="344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615"/>
        </w:trPr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/>
            <w:sdt>
              <w:sdtPr>
                <w15:appearance w15:val="boundingBox"/>
                <w:id w:val="736666876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DC    </w:t>
            </w:r>
            <w:sdt>
              <w:sdtPr>
                <w15:appearance w15:val="boundingBox"/>
                <w:id w:val="-98786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DR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 Project Name: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 NM Project Name: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 VDC Name (if available):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1665384670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ECS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vCPU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vMemory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_________(GB)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5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15041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EVS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54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736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CSBS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4602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EIP 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4408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VBS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2937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ELB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7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5333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VPN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7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189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WAF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Package: </w:t>
              <w:br/>
            </w:r>
            <w:r>
              <w:rPr>
                <w:rFonts w:ascii="Times New Roman" w:hAnsi="Times New Roman" w:cs="Times New Roman"/>
              </w:rPr>
            </w: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Strict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MS Gothic" w:hAnsi="MS Gothic" w:eastAsia="MS Gothic" w:cs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Custom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3"/>
        </w:trPr>
        <w:tc>
          <w:tcPr>
            <w:gridSpan w:val="3"/>
            <w:tcBorders/>
            <w:tcW w:w="9016" w:type="dxa"/>
            <w:textDirection w:val="lrTb"/>
            <w:noWrap w:val="false"/>
          </w:tcPr>
          <w:p>
            <w:pPr>
              <w:pStyle w:val="738"/>
              <w:pBdr/>
              <w:shd w:val="clear" w:color="auto" w:fill="f8f9fa"/>
              <w:spacing w:line="240" w:lineRule="atLeast"/>
              <w:ind/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***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যে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সম্প্রসারণ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প্রয়োজন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তার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পাশে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(</w:t>
            </w:r>
            <w:r>
              <w:rPr>
                <w:rFonts w:ascii="Wingdings" w:hAnsi="Wingdings" w:eastAsia="Wingdings" w:cs="Wingdings"/>
                <w:color w:val="ff0000"/>
                <w:sz w:val="24"/>
                <w:szCs w:val="24"/>
              </w:rPr>
              <w:t xml:space="preserve">ü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চিহ্ন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দিন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এবং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cs" w:ascii="Nikosh" w:hAnsi="Nikosh" w:cs="Nikosh"/>
                <w:color w:val="0000ff"/>
                <w:sz w:val="24"/>
                <w:szCs w:val="24"/>
                <w:cs/>
              </w:rPr>
              <w:t xml:space="preserve">প্রয়োজনীয়</w:t>
            </w:r>
            <w:r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কোটা উল্লেখ করুন</w:t>
            </w:r>
            <w:r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r>
          </w:p>
        </w:tc>
      </w:tr>
    </w:tbl>
    <w:p>
      <w:pPr>
        <w:pStyle w:val="738"/>
        <w:pBdr/>
        <w:shd w:val="clear" w:color="auto" w:fill="f8f9fa"/>
        <w:spacing w:line="240" w:lineRule="atLeast"/>
        <w:ind/>
        <w:jc w:val="both"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  <w:t xml:space="preserve">As we’ve a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Service Level A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greement between (Customer Organization Name)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and Bangladesh Computer Council(BCC) for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Cloud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service which is hosted in National Data Center(NDC). S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o we are requesting to take necessary action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to upgrade our eGov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Cloud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service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quota </w:t>
      </w:r>
      <w:bookmarkStart w:id="0" w:name="_GoBack"/>
      <w:r/>
      <w:bookmarkEnd w:id="0"/>
      <w:r>
        <w:rPr>
          <w:rFonts w:ascii="Times New Roman" w:hAnsi="Times New Roman" w:cs="Times New Roman" w:eastAsiaTheme="minorHAnsi"/>
          <w:sz w:val="22"/>
          <w:szCs w:val="22"/>
        </w:rPr>
        <w:t xml:space="preserve">.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</w:t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738"/>
        <w:pBdr/>
        <w:shd w:val="clear" w:color="auto" w:fill="f8f9fa"/>
        <w:spacing w:line="240" w:lineRule="atLeast"/>
        <w:ind/>
        <w:jc w:val="both"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738"/>
        <w:pBdr/>
        <w:shd w:val="clear" w:color="auto" w:fill="f8f9fa"/>
        <w:spacing w:line="240" w:lineRule="atLeast"/>
        <w:ind/>
        <w:jc w:val="both"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  <w:t xml:space="preserve">Thank you for your co-operation.</w:t>
      </w:r>
      <w:r>
        <w:rPr>
          <w:rFonts w:ascii="Times New Roman" w:hAnsi="Times New Roman" w:cs="Times New Roman" w:eastAsiaTheme="minorHAnsi"/>
          <w:sz w:val="22"/>
          <w:szCs w:val="22"/>
        </w:rPr>
        <w:t xml:space="preserve"> </w:t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Bdr/>
        <w:spacing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Signature 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Name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No: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Email(official):</w:t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Attachment: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existing SLA copy or official order. </w:t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</w:r>
      <w:r>
        <w:rPr>
          <w:rFonts w:ascii="Nikosh" w:hAnsi="Nikosh" w:cs="Nikosh"/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 Symbol">
    <w:panose1 w:val="020B0502040504020204"/>
  </w:font>
  <w:font w:name="MS Gothic">
    <w:panose1 w:val="020B06060202020A0204"/>
  </w:font>
  <w:font w:name="Nirmala UI">
    <w:panose1 w:val="020B0502040504020204"/>
  </w:font>
  <w:font w:name="Times New Roman">
    <w:panose1 w:val="02020603050405020304"/>
  </w:font>
  <w:font w:name="Nikosh">
    <w:panose1 w:val="0200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pBdr/>
      <w:spacing/>
      <w:ind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*** This authorization letter can be provided by Customer Service Owner or Service Technical Owner </w:t>
    </w:r>
    <w:r>
      <w:rPr>
        <w:rFonts w:ascii="Times New Roman" w:hAnsi="Times New Roman" w:cs="Times New Roman"/>
        <w:color w:val="0000ff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pBdr/>
      <w:spacing/>
      <w:ind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Customer </w:t>
    </w:r>
    <w:r>
      <w:rPr>
        <w:rFonts w:ascii="Nirmala UI" w:hAnsi="Nirmala UI" w:cs="Nirmala UI"/>
        <w:b/>
        <w:sz w:val="32"/>
        <w:szCs w:val="32"/>
      </w:rPr>
      <w:t xml:space="preserve">L</w:t>
    </w:r>
    <w:r>
      <w:rPr>
        <w:b/>
        <w:sz w:val="32"/>
        <w:szCs w:val="32"/>
      </w:rPr>
      <w:t xml:space="preserve">etter Head</w:t>
    </w:r>
    <w:r>
      <w:rPr>
        <w:b/>
        <w:sz w:val="32"/>
        <w:szCs w:val="32"/>
      </w:rPr>
    </w:r>
  </w:p>
  <w:p>
    <w:pPr>
      <w:pStyle w:val="72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22"/>
    <w:next w:val="72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22"/>
    <w:next w:val="72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22"/>
    <w:next w:val="72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22"/>
    <w:next w:val="72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22"/>
    <w:next w:val="72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22"/>
    <w:next w:val="72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22"/>
    <w:next w:val="72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1">
    <w:name w:val="Heading 3 Char"/>
    <w:basedOn w:val="72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22"/>
    <w:next w:val="72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22"/>
    <w:next w:val="72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22"/>
    <w:next w:val="72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2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22"/>
    <w:next w:val="72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22"/>
    <w:next w:val="72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2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2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22"/>
    <w:next w:val="722"/>
    <w:uiPriority w:val="39"/>
    <w:unhideWhenUsed/>
    <w:pPr>
      <w:pBdr/>
      <w:spacing w:after="100"/>
      <w:ind/>
    </w:pPr>
  </w:style>
  <w:style w:type="paragraph" w:styleId="189">
    <w:name w:val="toc 2"/>
    <w:basedOn w:val="722"/>
    <w:next w:val="722"/>
    <w:uiPriority w:val="39"/>
    <w:unhideWhenUsed/>
    <w:pPr>
      <w:pBdr/>
      <w:spacing w:after="100"/>
      <w:ind w:left="220"/>
    </w:pPr>
  </w:style>
  <w:style w:type="paragraph" w:styleId="190">
    <w:name w:val="toc 3"/>
    <w:basedOn w:val="722"/>
    <w:next w:val="722"/>
    <w:uiPriority w:val="39"/>
    <w:unhideWhenUsed/>
    <w:pPr>
      <w:pBdr/>
      <w:spacing w:after="100"/>
      <w:ind w:left="440"/>
    </w:pPr>
  </w:style>
  <w:style w:type="paragraph" w:styleId="191">
    <w:name w:val="toc 4"/>
    <w:basedOn w:val="722"/>
    <w:next w:val="722"/>
    <w:uiPriority w:val="39"/>
    <w:unhideWhenUsed/>
    <w:pPr>
      <w:pBdr/>
      <w:spacing w:after="100"/>
      <w:ind w:left="660"/>
    </w:pPr>
  </w:style>
  <w:style w:type="paragraph" w:styleId="192">
    <w:name w:val="toc 5"/>
    <w:basedOn w:val="722"/>
    <w:next w:val="722"/>
    <w:uiPriority w:val="39"/>
    <w:unhideWhenUsed/>
    <w:pPr>
      <w:pBdr/>
      <w:spacing w:after="100"/>
      <w:ind w:left="880"/>
    </w:pPr>
  </w:style>
  <w:style w:type="paragraph" w:styleId="193">
    <w:name w:val="toc 6"/>
    <w:basedOn w:val="722"/>
    <w:next w:val="722"/>
    <w:uiPriority w:val="39"/>
    <w:unhideWhenUsed/>
    <w:pPr>
      <w:pBdr/>
      <w:spacing w:after="100"/>
      <w:ind w:left="1100"/>
    </w:pPr>
  </w:style>
  <w:style w:type="paragraph" w:styleId="194">
    <w:name w:val="toc 7"/>
    <w:basedOn w:val="722"/>
    <w:next w:val="722"/>
    <w:uiPriority w:val="39"/>
    <w:unhideWhenUsed/>
    <w:pPr>
      <w:pBdr/>
      <w:spacing w:after="100"/>
      <w:ind w:left="1320"/>
    </w:pPr>
  </w:style>
  <w:style w:type="paragraph" w:styleId="195">
    <w:name w:val="toc 8"/>
    <w:basedOn w:val="722"/>
    <w:next w:val="722"/>
    <w:uiPriority w:val="39"/>
    <w:unhideWhenUsed/>
    <w:pPr>
      <w:pBdr/>
      <w:spacing w:after="100"/>
      <w:ind w:left="1540"/>
    </w:pPr>
  </w:style>
  <w:style w:type="paragraph" w:styleId="196">
    <w:name w:val="toc 9"/>
    <w:basedOn w:val="722"/>
    <w:next w:val="72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22"/>
    <w:next w:val="722"/>
    <w:uiPriority w:val="99"/>
    <w:unhideWhenUsed/>
    <w:pPr>
      <w:pBdr/>
      <w:spacing w:after="0" w:afterAutospacing="0"/>
      <w:ind/>
    </w:pPr>
  </w:style>
  <w:style w:type="paragraph" w:styleId="722" w:default="1">
    <w:name w:val="Normal"/>
    <w:qFormat/>
    <w:pPr>
      <w:pBdr/>
      <w:spacing/>
      <w:ind/>
    </w:pPr>
  </w:style>
  <w:style w:type="paragraph" w:styleId="723">
    <w:name w:val="Heading 1"/>
    <w:basedOn w:val="722"/>
    <w:next w:val="722"/>
    <w:link w:val="736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7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5" w:default="1">
    <w:name w:val="Default Paragraph Font"/>
    <w:uiPriority w:val="1"/>
    <w:semiHidden/>
    <w:unhideWhenUsed/>
    <w:pPr>
      <w:pBdr/>
      <w:spacing/>
      <w:ind/>
    </w:pPr>
  </w:style>
  <w:style w:type="table" w:styleId="7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7" w:default="1">
    <w:name w:val="No List"/>
    <w:uiPriority w:val="99"/>
    <w:semiHidden/>
    <w:unhideWhenUsed/>
    <w:pPr>
      <w:pBdr/>
      <w:spacing/>
      <w:ind/>
    </w:pPr>
  </w:style>
  <w:style w:type="paragraph" w:styleId="728">
    <w:name w:val="Header"/>
    <w:basedOn w:val="722"/>
    <w:link w:val="729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729" w:customStyle="1">
    <w:name w:val="Header Char"/>
    <w:basedOn w:val="725"/>
    <w:link w:val="728"/>
    <w:uiPriority w:val="99"/>
    <w:pPr>
      <w:pBdr/>
      <w:spacing/>
      <w:ind/>
    </w:pPr>
  </w:style>
  <w:style w:type="paragraph" w:styleId="730">
    <w:name w:val="Footer"/>
    <w:basedOn w:val="722"/>
    <w:link w:val="731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731" w:customStyle="1">
    <w:name w:val="Footer Char"/>
    <w:basedOn w:val="725"/>
    <w:link w:val="730"/>
    <w:uiPriority w:val="99"/>
    <w:pPr>
      <w:pBdr/>
      <w:spacing/>
      <w:ind/>
    </w:pPr>
  </w:style>
  <w:style w:type="character" w:styleId="732">
    <w:name w:val="Placeholder Text"/>
    <w:basedOn w:val="725"/>
    <w:uiPriority w:val="99"/>
    <w:semiHidden/>
    <w:pPr>
      <w:pBdr/>
      <w:spacing/>
      <w:ind/>
    </w:pPr>
    <w:rPr>
      <w:color w:val="808080"/>
    </w:rPr>
  </w:style>
  <w:style w:type="table" w:styleId="733">
    <w:name w:val="Table Grid"/>
    <w:basedOn w:val="72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4">
    <w:name w:val="Hyperlink"/>
    <w:basedOn w:val="725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35">
    <w:name w:val="No Spacing"/>
    <w:uiPriority w:val="1"/>
    <w:qFormat/>
    <w:pPr>
      <w:pBdr/>
      <w:spacing w:after="0" w:line="240" w:lineRule="auto"/>
      <w:ind/>
    </w:pPr>
  </w:style>
  <w:style w:type="character" w:styleId="736" w:customStyle="1">
    <w:name w:val="Heading 1 Char"/>
    <w:basedOn w:val="725"/>
    <w:link w:val="723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37" w:customStyle="1">
    <w:name w:val="Heading 2 Char"/>
    <w:basedOn w:val="725"/>
    <w:link w:val="724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38">
    <w:name w:val="HTML Preformatted"/>
    <w:basedOn w:val="722"/>
    <w:link w:val="739"/>
    <w:uiPriority w:val="99"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</w:rPr>
  </w:style>
  <w:style w:type="character" w:styleId="739" w:customStyle="1">
    <w:name w:val="HTML Preformatted Char"/>
    <w:basedOn w:val="725"/>
    <w:link w:val="738"/>
    <w:uiPriority w:val="99"/>
    <w:pPr>
      <w:pBdr/>
      <w:spacing/>
      <w:ind/>
    </w:pPr>
    <w:rPr>
      <w:rFonts w:ascii="Courier New" w:hAnsi="Courier New" w:eastAsia="Times New Roman" w:cs="Courier New"/>
      <w:sz w:val="20"/>
      <w:szCs w:val="20"/>
    </w:rPr>
  </w:style>
  <w:style w:type="character" w:styleId="740" w:customStyle="1">
    <w:name w:val="y2iqfc"/>
    <w:basedOn w:val="72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5FC9-5B1A-476E-A6A3-BB68ADF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Faiad Iftikhar Rafee</dc:creator>
  <cp:keywords/>
  <dc:description/>
  <cp:revision>10</cp:revision>
  <dcterms:created xsi:type="dcterms:W3CDTF">2022-08-04T12:22:00Z</dcterms:created>
  <dcterms:modified xsi:type="dcterms:W3CDTF">2025-09-10T06:42:40Z</dcterms:modified>
</cp:coreProperties>
</file>