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6D" w:rsidRPr="0031316D" w:rsidRDefault="0031316D" w:rsidP="0031316D">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31316D">
        <w:rPr>
          <w:rFonts w:ascii="Calibri Light" w:eastAsia="Times New Roman" w:hAnsi="Calibri Light" w:cs="Times New Roman"/>
          <w:b/>
          <w:bCs/>
          <w:color w:val="2F5496"/>
          <w:sz w:val="32"/>
          <w:szCs w:val="32"/>
          <w:lang w:eastAsia="zh-CN"/>
        </w:rPr>
        <w:t xml:space="preserve">Bangladesh Computer Council </w:t>
      </w:r>
    </w:p>
    <w:p w:rsidR="0031316D" w:rsidRPr="0031316D" w:rsidRDefault="0031316D" w:rsidP="0031316D">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31316D">
        <w:rPr>
          <w:rFonts w:ascii="Calibri Light" w:eastAsia="Times New Roman" w:hAnsi="Calibri Light" w:cs="Times New Roman"/>
          <w:b/>
          <w:bCs/>
          <w:color w:val="2F5496"/>
          <w:sz w:val="32"/>
          <w:szCs w:val="32"/>
          <w:lang w:eastAsia="zh-CN"/>
        </w:rPr>
        <w:t>Request Based Service</w:t>
      </w:r>
    </w:p>
    <w:p w:rsidR="0031316D" w:rsidRPr="0031316D" w:rsidRDefault="0031316D" w:rsidP="0031316D">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31316D">
        <w:rPr>
          <w:rFonts w:ascii="Calibri Light" w:eastAsia="Times New Roman" w:hAnsi="Calibri Light" w:cs="Times New Roman"/>
          <w:b/>
          <w:bCs/>
          <w:color w:val="2F5496"/>
          <w:sz w:val="32"/>
          <w:szCs w:val="32"/>
          <w:lang w:eastAsia="zh-CN"/>
        </w:rPr>
        <w:t>Frame Agreement</w:t>
      </w:r>
    </w:p>
    <w:p w:rsidR="0031316D" w:rsidRPr="0031316D" w:rsidRDefault="0031316D" w:rsidP="0031316D">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0" w:name="_Hlk532990077"/>
      <w:bookmarkEnd w:id="0"/>
    </w:p>
    <w:p w:rsidR="0031316D" w:rsidRPr="0031316D" w:rsidRDefault="0031316D" w:rsidP="0031316D">
      <w:pPr>
        <w:suppressLineNumbers/>
        <w:suppressAutoHyphens/>
        <w:spacing w:line="240" w:lineRule="auto"/>
        <w:jc w:val="both"/>
        <w:rPr>
          <w:rFonts w:ascii="Calibri" w:eastAsia="SimSun" w:hAnsi="Calibri" w:cs="Calibri"/>
          <w:iCs/>
          <w:color w:val="00000A"/>
          <w:sz w:val="24"/>
          <w:szCs w:val="24"/>
          <w:lang w:eastAsia="zh-CN"/>
        </w:rPr>
      </w:pPr>
      <w:r w:rsidRPr="0031316D">
        <w:rPr>
          <w:rFonts w:ascii="Calibri" w:eastAsia="SimSun" w:hAnsi="Calibri" w:cs="Calibri"/>
          <w:iCs/>
          <w:color w:val="00000A"/>
          <w:sz w:val="24"/>
          <w:szCs w:val="24"/>
          <w:lang w:eastAsia="zh-CN"/>
        </w:rPr>
        <w:t xml:space="preserve">This document constitutes an agreement (herein after called "Frame Agreement") made on the ___________ day of ____________, 20…..… between: </w:t>
      </w:r>
    </w:p>
    <w:p w:rsidR="0031316D" w:rsidRPr="0031316D" w:rsidRDefault="0031316D" w:rsidP="0031316D">
      <w:pPr>
        <w:suppressLineNumbers/>
        <w:suppressAutoHyphens/>
        <w:spacing w:line="240" w:lineRule="auto"/>
        <w:jc w:val="both"/>
        <w:rPr>
          <w:rFonts w:ascii="Calibri" w:eastAsia="SimSun" w:hAnsi="Calibri" w:cs="Calibri"/>
          <w:iCs/>
          <w:color w:val="00000A"/>
          <w:sz w:val="24"/>
          <w:szCs w:val="24"/>
          <w:lang w:eastAsia="zh-CN"/>
        </w:rPr>
      </w:pPr>
      <w:r w:rsidRPr="0031316D">
        <w:rPr>
          <w:rFonts w:ascii="Calibri" w:eastAsia="SimSun" w:hAnsi="Calibri" w:cs="Calibri"/>
          <w:iCs/>
          <w:color w:val="00000A"/>
          <w:sz w:val="24"/>
          <w:szCs w:val="24"/>
          <w:lang w:eastAsia="zh-CN"/>
        </w:rPr>
        <w:t xml:space="preserve">(a) The Bangladesh Computer Council ("BCC"), ICT Tower, </w:t>
      </w:r>
      <w:proofErr w:type="spellStart"/>
      <w:r w:rsidRPr="0031316D">
        <w:rPr>
          <w:rFonts w:ascii="Calibri" w:eastAsia="SimSun" w:hAnsi="Calibri" w:cs="Calibri"/>
          <w:iCs/>
          <w:color w:val="00000A"/>
          <w:sz w:val="24"/>
          <w:szCs w:val="24"/>
          <w:lang w:eastAsia="zh-CN"/>
        </w:rPr>
        <w:t>Agargaon</w:t>
      </w:r>
      <w:proofErr w:type="spellEnd"/>
      <w:r w:rsidRPr="0031316D">
        <w:rPr>
          <w:rFonts w:ascii="Calibri" w:eastAsia="SimSun" w:hAnsi="Calibri" w:cs="Calibri"/>
          <w:iCs/>
          <w:color w:val="00000A"/>
          <w:sz w:val="24"/>
          <w:szCs w:val="24"/>
          <w:lang w:eastAsia="zh-CN"/>
        </w:rPr>
        <w:t xml:space="preserve">, </w:t>
      </w:r>
      <w:proofErr w:type="spellStart"/>
      <w:r w:rsidRPr="0031316D">
        <w:rPr>
          <w:rFonts w:ascii="Calibri" w:eastAsia="SimSun" w:hAnsi="Calibri" w:cs="Calibri"/>
          <w:iCs/>
          <w:color w:val="00000A"/>
          <w:sz w:val="24"/>
          <w:szCs w:val="24"/>
          <w:lang w:eastAsia="zh-CN"/>
        </w:rPr>
        <w:t>Sher</w:t>
      </w:r>
      <w:proofErr w:type="spellEnd"/>
      <w:r w:rsidRPr="0031316D">
        <w:rPr>
          <w:rFonts w:ascii="Calibri" w:eastAsia="SimSun" w:hAnsi="Calibri" w:cs="Calibri"/>
          <w:iCs/>
          <w:color w:val="00000A"/>
          <w:sz w:val="24"/>
          <w:szCs w:val="24"/>
          <w:lang w:eastAsia="zh-CN"/>
        </w:rPr>
        <w:t xml:space="preserve">-e-Bangla Nagar, Dhaka, Bangladesh as the first party (Government NDC Service Provider), </w:t>
      </w:r>
    </w:p>
    <w:p w:rsidR="0031316D" w:rsidRPr="0031316D" w:rsidRDefault="0031316D" w:rsidP="0031316D">
      <w:pPr>
        <w:suppressLineNumbers/>
        <w:suppressAutoHyphens/>
        <w:spacing w:line="240" w:lineRule="auto"/>
        <w:jc w:val="both"/>
        <w:rPr>
          <w:rFonts w:ascii="Calibri" w:eastAsia="SimSun" w:hAnsi="Calibri" w:cs="Calibri"/>
          <w:b/>
          <w:iCs/>
          <w:color w:val="00000A"/>
          <w:sz w:val="24"/>
          <w:szCs w:val="24"/>
          <w:lang w:eastAsia="zh-CN"/>
        </w:rPr>
      </w:pPr>
      <w:r w:rsidRPr="0031316D">
        <w:rPr>
          <w:rFonts w:ascii="Calibri" w:eastAsia="SimSun" w:hAnsi="Calibri" w:cs="Calibri"/>
          <w:b/>
          <w:iCs/>
          <w:color w:val="00000A"/>
          <w:sz w:val="24"/>
          <w:szCs w:val="24"/>
          <w:lang w:eastAsia="zh-CN"/>
        </w:rPr>
        <w:t>And</w:t>
      </w:r>
    </w:p>
    <w:p w:rsidR="0031316D" w:rsidRPr="0031316D" w:rsidRDefault="0031316D" w:rsidP="0031316D">
      <w:pPr>
        <w:suppressLineNumbers/>
        <w:suppressAutoHyphens/>
        <w:spacing w:line="240" w:lineRule="auto"/>
        <w:jc w:val="both"/>
        <w:rPr>
          <w:rFonts w:ascii="Calibri" w:eastAsia="SimSun" w:hAnsi="Calibri" w:cs="Calibri"/>
          <w:iCs/>
          <w:color w:val="00000A"/>
          <w:sz w:val="24"/>
          <w:szCs w:val="24"/>
          <w:lang w:eastAsia="zh-CN"/>
        </w:rPr>
      </w:pPr>
      <w:r w:rsidRPr="0031316D">
        <w:rPr>
          <w:rFonts w:ascii="Calibri" w:eastAsia="SimSun" w:hAnsi="Calibri" w:cs="Calibri"/>
          <w:iCs/>
          <w:color w:val="00000A"/>
          <w:sz w:val="24"/>
          <w:szCs w:val="24"/>
          <w:lang w:eastAsia="zh-CN"/>
        </w:rPr>
        <w:t>_______________________________________________________________</w:t>
      </w:r>
    </w:p>
    <w:p w:rsidR="0031316D" w:rsidRPr="0031316D" w:rsidRDefault="0031316D" w:rsidP="0031316D">
      <w:pPr>
        <w:suppressLineNumbers/>
        <w:suppressAutoHyphens/>
        <w:spacing w:line="240" w:lineRule="auto"/>
        <w:jc w:val="both"/>
        <w:rPr>
          <w:rFonts w:ascii="Calibri" w:eastAsia="SimSun" w:hAnsi="Calibri" w:cs="Calibri"/>
          <w:iCs/>
          <w:color w:val="00000A"/>
          <w:sz w:val="24"/>
          <w:szCs w:val="24"/>
          <w:lang w:eastAsia="zh-CN"/>
        </w:rPr>
      </w:pPr>
      <w:r w:rsidRPr="0031316D">
        <w:rPr>
          <w:rFonts w:ascii="Calibri" w:eastAsia="SimSun" w:hAnsi="Calibri" w:cs="Calibri"/>
          <w:iCs/>
          <w:color w:val="00000A"/>
          <w:sz w:val="24"/>
          <w:szCs w:val="24"/>
          <w:lang w:eastAsia="zh-CN"/>
        </w:rPr>
        <w:t xml:space="preserve">(Please fill up; </w:t>
      </w:r>
      <w:r w:rsidRPr="0031316D">
        <w:rPr>
          <w:rFonts w:ascii="Calibri" w:eastAsia="SimSun" w:hAnsi="Calibri" w:cs="Calibri"/>
          <w:iCs/>
          <w:color w:val="000000"/>
          <w:sz w:val="24"/>
          <w:szCs w:val="24"/>
          <w:lang w:eastAsia="zh-CN"/>
        </w:rPr>
        <w:t xml:space="preserve">Project/Office Name, Organization Name &amp; Address) </w:t>
      </w:r>
    </w:p>
    <w:p w:rsidR="0031316D" w:rsidRPr="0031316D" w:rsidRDefault="0031316D" w:rsidP="0031316D">
      <w:pPr>
        <w:suppressLineNumbers/>
        <w:suppressAutoHyphens/>
        <w:spacing w:line="240" w:lineRule="auto"/>
        <w:jc w:val="both"/>
        <w:rPr>
          <w:rFonts w:ascii="Calibri" w:eastAsia="SimSun" w:hAnsi="Calibri" w:cs="Calibri"/>
          <w:iCs/>
          <w:color w:val="00000A"/>
          <w:sz w:val="24"/>
          <w:szCs w:val="24"/>
          <w:lang w:eastAsia="zh-CN"/>
        </w:rPr>
      </w:pPr>
      <w:r w:rsidRPr="0031316D">
        <w:rPr>
          <w:rFonts w:ascii="Calibri" w:eastAsia="SimSun" w:hAnsi="Calibri" w:cs="Calibri"/>
          <w:iCs/>
          <w:color w:val="00000A"/>
          <w:sz w:val="24"/>
          <w:szCs w:val="24"/>
          <w:lang w:eastAsia="zh-CN"/>
        </w:rPr>
        <w:t>as the 2nd party (Customer)</w:t>
      </w:r>
    </w:p>
    <w:p w:rsidR="0031316D" w:rsidRPr="0031316D" w:rsidRDefault="0031316D" w:rsidP="0031316D">
      <w:pPr>
        <w:suppressAutoHyphens/>
        <w:spacing w:line="240" w:lineRule="auto"/>
        <w:jc w:val="both"/>
        <w:rPr>
          <w:rFonts w:ascii="Calibri" w:eastAsia="SimSun" w:hAnsi="Calibri" w:cs="Calibri"/>
          <w:color w:val="00000A"/>
          <w:sz w:val="24"/>
          <w:szCs w:val="24"/>
          <w:lang w:eastAsia="zh-CN"/>
        </w:rPr>
      </w:pPr>
    </w:p>
    <w:p w:rsidR="0031316D" w:rsidRPr="0031316D" w:rsidRDefault="0031316D" w:rsidP="0031316D">
      <w:pPr>
        <w:suppressAutoHyphens/>
        <w:spacing w:after="200" w:line="276" w:lineRule="auto"/>
        <w:jc w:val="both"/>
        <w:rPr>
          <w:rFonts w:ascii="Calibri" w:eastAsia="Calibri" w:hAnsi="Calibri" w:cs="Times New Roman"/>
          <w:lang w:eastAsia="zh-CN"/>
        </w:rPr>
      </w:pPr>
      <w:r w:rsidRPr="0031316D">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w:t>
      </w:r>
      <w:r w:rsidR="00023A93">
        <w:rPr>
          <w:rFonts w:ascii="Calibri" w:eastAsia="SimSun" w:hAnsi="Calibri" w:cs="Calibri"/>
          <w:color w:val="00000A"/>
          <w:sz w:val="24"/>
          <w:szCs w:val="24"/>
          <w:lang w:eastAsia="zh-CN"/>
        </w:rPr>
        <w:t>, NDC Private Access Service</w:t>
      </w:r>
      <w:bookmarkStart w:id="1" w:name="_GoBack"/>
      <w:bookmarkEnd w:id="1"/>
      <w:r w:rsidRPr="0031316D">
        <w:rPr>
          <w:rFonts w:ascii="Calibri" w:eastAsia="SimSun" w:hAnsi="Calibri" w:cs="Calibri"/>
          <w:color w:val="00000A"/>
          <w:sz w:val="24"/>
          <w:szCs w:val="24"/>
          <w:lang w:eastAsia="zh-CN"/>
        </w:rPr>
        <w:t xml:space="preserve"> &amp; Collocation Service)</w:t>
      </w:r>
      <w:r w:rsidRPr="0031316D">
        <w:rPr>
          <w:rFonts w:ascii="Calibri" w:eastAsia="SimSun" w:hAnsi="Calibri" w:cs="Calibri"/>
          <w:color w:val="2F5496"/>
          <w:sz w:val="24"/>
          <w:szCs w:val="24"/>
          <w:lang w:eastAsia="zh-CN"/>
        </w:rPr>
        <w:t xml:space="preserve"> </w:t>
      </w:r>
      <w:r w:rsidRPr="0031316D">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31316D">
        <w:rPr>
          <w:rFonts w:ascii="Calibri" w:eastAsia="SimSun" w:hAnsi="Calibri" w:cs="SolaimanLipi"/>
          <w:color w:val="00000A"/>
          <w:sz w:val="24"/>
          <w:szCs w:val="24"/>
          <w:lang w:eastAsia="zh-CN"/>
        </w:rPr>
        <w:t xml:space="preserve"> this agreement customer will be abiding by the following terms and conditions:</w:t>
      </w:r>
    </w:p>
    <w:p w:rsidR="0031316D" w:rsidRPr="0031316D" w:rsidRDefault="0031316D" w:rsidP="0031316D">
      <w:pPr>
        <w:suppressAutoHyphens/>
        <w:spacing w:line="240" w:lineRule="auto"/>
        <w:jc w:val="both"/>
        <w:rPr>
          <w:rFonts w:ascii="Calibri" w:eastAsia="SimSun" w:hAnsi="Calibri" w:cs="SolaimanLipi"/>
          <w:color w:val="00000A"/>
          <w:sz w:val="24"/>
          <w:szCs w:val="24"/>
          <w:lang w:eastAsia="zh-CN"/>
        </w:rPr>
      </w:pP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Validity and Modification of the General Terms and Conditions for the provision of Services</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rsidR="0031316D" w:rsidRPr="0031316D" w:rsidRDefault="0031316D" w:rsidP="0031316D">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31316D" w:rsidRPr="0031316D" w:rsidSect="009A6015">
          <w:footerReference w:type="default" r:id="rId8"/>
          <w:pgSz w:w="11906" w:h="16838" w:code="9"/>
          <w:pgMar w:top="1440" w:right="1440" w:bottom="1260" w:left="1440" w:header="720" w:footer="720" w:gutter="0"/>
          <w:cols w:space="720"/>
          <w:docGrid w:linePitch="360"/>
        </w:sectPr>
      </w:pPr>
      <w:r w:rsidRPr="0031316D">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existing Customer Service Agreement.</w:t>
      </w:r>
    </w:p>
    <w:p w:rsidR="0031316D" w:rsidRPr="0031316D" w:rsidRDefault="0031316D" w:rsidP="0031316D">
      <w:p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lastRenderedPageBreak/>
        <w:t>Communication between the Parties</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Communication between the Parties shall take place through the contacts indicated in the Service Level Agreement;</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Termination of the Agreement</w:t>
      </w:r>
    </w:p>
    <w:p w:rsidR="0031316D" w:rsidRPr="0031316D" w:rsidRDefault="0031316D" w:rsidP="0031316D">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rsidR="0031316D" w:rsidRPr="0031316D" w:rsidRDefault="0031316D" w:rsidP="0031316D">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31316D" w:rsidRPr="0031316D" w:rsidRDefault="0031316D" w:rsidP="0031316D">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On the other hand, BCC reserves the right to terminate, cancel or suspend the service of a Customer for the following reasons:</w:t>
      </w:r>
    </w:p>
    <w:p w:rsidR="0031316D" w:rsidRPr="0031316D" w:rsidRDefault="0031316D" w:rsidP="0031316D">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 xml:space="preserve">If the Customer fails to comply with the General terms and conditions; </w:t>
      </w: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 xml:space="preserve">If the information system of the Customer generates any malware or virus or worm or malicious code; </w:t>
      </w: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If the information system of the Customer generates inbound or outbound Distributed Denial-of-Service (</w:t>
      </w:r>
      <w:proofErr w:type="spellStart"/>
      <w:r w:rsidR="00D9508D" w:rsidRPr="0031316D">
        <w:rPr>
          <w:rFonts w:ascii="Calibri" w:eastAsia="SimSun" w:hAnsi="Calibri" w:cs="Calibri"/>
          <w:color w:val="00000A"/>
          <w:sz w:val="24"/>
          <w:szCs w:val="24"/>
          <w:lang w:eastAsia="zh-CN"/>
        </w:rPr>
        <w:t>DDoS</w:t>
      </w:r>
      <w:proofErr w:type="spellEnd"/>
      <w:r w:rsidR="00D9508D" w:rsidRPr="0031316D">
        <w:rPr>
          <w:rFonts w:ascii="Calibri" w:eastAsia="SimSun" w:hAnsi="Calibri" w:cs="Calibri"/>
          <w:color w:val="00000A"/>
          <w:sz w:val="24"/>
          <w:szCs w:val="24"/>
          <w:lang w:eastAsia="zh-CN"/>
        </w:rPr>
        <w:t>) traffic</w:t>
      </w:r>
      <w:r w:rsidRPr="0031316D">
        <w:rPr>
          <w:rFonts w:ascii="Calibri" w:eastAsia="SimSun" w:hAnsi="Calibri" w:cs="Calibri"/>
          <w:color w:val="00000A"/>
          <w:sz w:val="24"/>
          <w:szCs w:val="24"/>
          <w:lang w:eastAsia="zh-CN"/>
        </w:rPr>
        <w:t xml:space="preserve">; </w:t>
      </w: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If the information system of the Customer generates unexpectedly high traffic packet;</w:t>
      </w: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If the information system of the Customer interrupts other hosted services in the data center;</w:t>
      </w:r>
    </w:p>
    <w:p w:rsidR="0031316D" w:rsidRPr="0031316D" w:rsidRDefault="0031316D" w:rsidP="0031316D">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Any other reason that may lead to suspension, cancel or termination.</w:t>
      </w:r>
    </w:p>
    <w:p w:rsidR="0031316D" w:rsidRPr="0031316D" w:rsidRDefault="0031316D" w:rsidP="0031316D">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After termination of the service BCC is not liable for the data of the Customer whose service is already terminated.</w:t>
      </w: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Billing &amp; Metering</w:t>
      </w:r>
    </w:p>
    <w:p w:rsidR="0031316D" w:rsidRPr="0031316D" w:rsidRDefault="0031316D" w:rsidP="0031316D">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31316D">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31316D">
        <w:rPr>
          <w:rFonts w:ascii="Calibri" w:eastAsia="SimSun" w:hAnsi="Calibri" w:cs="Mangal"/>
          <w:color w:val="000000"/>
          <w:sz w:val="24"/>
          <w:szCs w:val="24"/>
          <w:lang w:eastAsia="zh-CN"/>
        </w:rPr>
        <w:t xml:space="preserve">Appendix 3 </w:t>
      </w:r>
      <w:r w:rsidRPr="0031316D">
        <w:rPr>
          <w:rFonts w:ascii="Calibri" w:eastAsia="SimSun" w:hAnsi="Calibri" w:cs="Mangal"/>
          <w:color w:val="00000A"/>
          <w:sz w:val="24"/>
          <w:szCs w:val="24"/>
          <w:lang w:eastAsia="zh-CN"/>
        </w:rPr>
        <w:t xml:space="preserve">for Service Charge Schedule. </w:t>
      </w: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Rights and Obligations of the Parties</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Customer Rights</w:t>
      </w:r>
    </w:p>
    <w:p w:rsidR="0031316D" w:rsidRPr="0031316D" w:rsidRDefault="0031316D" w:rsidP="0031316D">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31316D">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rsidR="0031316D" w:rsidRPr="0031316D" w:rsidRDefault="0031316D" w:rsidP="0031316D">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31316D" w:rsidRPr="0031316D" w:rsidSect="009A6015">
          <w:footerReference w:type="default" r:id="rId9"/>
          <w:pgSz w:w="11906" w:h="16838" w:code="9"/>
          <w:pgMar w:top="1440" w:right="1440" w:bottom="1260" w:left="1440" w:header="720" w:footer="720" w:gutter="0"/>
          <w:cols w:space="720"/>
          <w:docGrid w:linePitch="360"/>
        </w:sectPr>
      </w:pPr>
      <w:r w:rsidRPr="0031316D">
        <w:rPr>
          <w:rFonts w:ascii="Calibri" w:eastAsia="SimSun" w:hAnsi="Calibri" w:cs="Mangal"/>
          <w:b/>
          <w:iCs/>
          <w:color w:val="00000A"/>
          <w:sz w:val="24"/>
          <w:szCs w:val="24"/>
          <w:lang w:eastAsia="zh-CN"/>
        </w:rPr>
        <w:t>Obligations of the Customer</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All installed applications and operating systems are properly licensed Govt. application;</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Servers are sufficiently protected from any type of internet threats;</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No illegal content is hosted on the servers;</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No ports are opened that could negatively affect the stability of the VDC system;</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No illegal applications are installed;</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Use the Services in accordance with the Agreement, the General Terms and Conditions, the legislation and good practices;</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Servers are not misused through the non-use or the use of only simple passwords;</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31316D" w:rsidRPr="0031316D" w:rsidSect="009A6015">
          <w:footerReference w:type="default" r:id="rId10"/>
          <w:pgSz w:w="11906" w:h="16838" w:code="9"/>
          <w:pgMar w:top="1440" w:right="1440" w:bottom="1260" w:left="1440" w:header="720" w:footer="720" w:gutter="0"/>
          <w:cols w:space="720"/>
          <w:docGrid w:linePitch="360"/>
        </w:sectPr>
      </w:pPr>
      <w:r w:rsidRPr="0031316D">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rsidR="0031316D" w:rsidRPr="0031316D" w:rsidRDefault="0031316D" w:rsidP="0031316D">
      <w:pPr>
        <w:suppressLineNumbers/>
        <w:suppressAutoHyphens/>
        <w:spacing w:before="240" w:after="120" w:line="240" w:lineRule="auto"/>
        <w:ind w:left="1440"/>
        <w:jc w:val="both"/>
        <w:rPr>
          <w:rFonts w:ascii="Calibri" w:eastAsia="SimSun" w:hAnsi="Calibri" w:cs="Mangal"/>
          <w:b/>
          <w:iCs/>
          <w:color w:val="00000A"/>
          <w:sz w:val="24"/>
          <w:szCs w:val="24"/>
          <w:lang w:eastAsia="zh-CN"/>
        </w:rPr>
      </w:pPr>
      <w:r w:rsidRPr="0031316D">
        <w:rPr>
          <w:rFonts w:ascii="Calibri" w:eastAsia="SimSun" w:hAnsi="Calibri" w:cs="Mangal"/>
          <w:iCs/>
          <w:color w:val="00000A"/>
          <w:sz w:val="24"/>
          <w:szCs w:val="24"/>
          <w:lang w:eastAsia="zh-CN"/>
        </w:rPr>
        <w:lastRenderedPageBreak/>
        <w:t>legislation regulating copyright, personal data protection and the use of databases.</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If the existing customer wants to avail more request based services in future, then the services will be considered under the same agreement. Only need to submit official forwarding letter along with respective service related all Appendix and form</w:t>
      </w:r>
      <w:r w:rsidR="00C92422">
        <w:rPr>
          <w:rFonts w:ascii="Calibri" w:eastAsia="SimSun" w:hAnsi="Calibri" w:cs="Mangal"/>
          <w:iCs/>
          <w:color w:val="00000A"/>
          <w:sz w:val="24"/>
          <w:szCs w:val="24"/>
          <w:lang w:eastAsia="zh-CN"/>
        </w:rPr>
        <w:t>s</w:t>
      </w:r>
      <w:r w:rsidRPr="0031316D">
        <w:rPr>
          <w:rFonts w:ascii="Calibri" w:eastAsia="SimSun" w:hAnsi="Calibri" w:cs="Mangal"/>
          <w:iCs/>
          <w:color w:val="00000A"/>
          <w:sz w:val="24"/>
          <w:szCs w:val="24"/>
          <w:lang w:eastAsia="zh-CN"/>
        </w:rPr>
        <w:t xml:space="preserve">. </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Rights of BCC</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rsidR="0031316D" w:rsidRPr="0031316D" w:rsidRDefault="0031316D" w:rsidP="0031316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BCC shall not be liable for any damage caused to the Customer; if it is caused by:</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A power failure not dependent on BCC;</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Failure of communication lines not controlled by BCC (including data communications provider);</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A Service not suited to the needs selected by the Customer;</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Failure by the Customer to implement organizational, physical and IT security measures;</w:t>
      </w:r>
    </w:p>
    <w:p w:rsidR="0031316D" w:rsidRPr="0031316D" w:rsidRDefault="0031316D" w:rsidP="0031316D">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Any other scenario that BCC’s states as outside their control.</w:t>
      </w:r>
    </w:p>
    <w:p w:rsidR="00D9508D" w:rsidRPr="00D9508D" w:rsidRDefault="0031316D" w:rsidP="00D9508D">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BCC has the right to restrict or suspend the Service if circumstances beyond BCC's control (e.g.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rsidR="0031316D" w:rsidRPr="00D9508D" w:rsidRDefault="0031316D" w:rsidP="00D9508D">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31316D" w:rsidRPr="00D9508D" w:rsidSect="009A6015">
          <w:footerReference w:type="default" r:id="rId11"/>
          <w:pgSz w:w="11906" w:h="16838" w:code="9"/>
          <w:pgMar w:top="1440" w:right="1440" w:bottom="1260" w:left="1440" w:header="720" w:footer="720" w:gutter="0"/>
          <w:cols w:space="720"/>
          <w:docGrid w:linePitch="360"/>
        </w:sectPr>
      </w:pPr>
      <w:r w:rsidRPr="00D9508D">
        <w:rPr>
          <w:rFonts w:ascii="Calibri" w:eastAsia="SimSun" w:hAnsi="Calibri" w:cs="Mangal"/>
          <w:b/>
          <w:iCs/>
          <w:color w:val="00000A"/>
          <w:sz w:val="24"/>
          <w:szCs w:val="24"/>
          <w:lang w:eastAsia="zh-CN"/>
        </w:rPr>
        <w:t>Confidentiality and Data Protection</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rsidR="0031316D" w:rsidRPr="0031316D" w:rsidRDefault="0031316D" w:rsidP="0031316D">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31316D">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31316D">
        <w:rPr>
          <w:rFonts w:ascii="Calibri" w:eastAsia="SimSun" w:hAnsi="Calibri" w:cs="Mangal"/>
          <w:b/>
          <w:iCs/>
          <w:color w:val="00000A"/>
          <w:sz w:val="24"/>
          <w:szCs w:val="24"/>
          <w:lang w:eastAsia="zh-CN"/>
        </w:rPr>
        <w:t>Circumstances of Force Majeure</w:t>
      </w:r>
    </w:p>
    <w:p w:rsidR="0031316D" w:rsidRPr="0031316D" w:rsidRDefault="0031316D" w:rsidP="0031316D">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31316D">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rsidR="0031316D" w:rsidRPr="0031316D" w:rsidRDefault="0031316D" w:rsidP="0031316D">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2" w:name="_Toc4928527"/>
      <w:r w:rsidRPr="0031316D">
        <w:rPr>
          <w:rFonts w:ascii="Calibri" w:eastAsia="SimSun" w:hAnsi="Calibri" w:cs="Mangal"/>
          <w:b/>
          <w:iCs/>
          <w:color w:val="00000A"/>
          <w:sz w:val="24"/>
          <w:szCs w:val="24"/>
          <w:lang w:eastAsia="zh-CN"/>
        </w:rPr>
        <w:t>D</w:t>
      </w:r>
      <w:bookmarkEnd w:id="2"/>
      <w:r w:rsidRPr="0031316D">
        <w:rPr>
          <w:rFonts w:ascii="Calibri" w:eastAsia="SimSun" w:hAnsi="Calibri" w:cs="Mangal"/>
          <w:b/>
          <w:iCs/>
          <w:color w:val="00000A"/>
          <w:sz w:val="24"/>
          <w:szCs w:val="24"/>
          <w:lang w:eastAsia="zh-CN"/>
        </w:rPr>
        <w:t>isclaimer</w:t>
      </w:r>
    </w:p>
    <w:p w:rsidR="0031316D" w:rsidRPr="0031316D" w:rsidRDefault="0031316D" w:rsidP="0031316D">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31316D">
        <w:rPr>
          <w:rFonts w:ascii="Calibri" w:eastAsia="SimSun" w:hAnsi="Calibri" w:cs="Calibri"/>
          <w:color w:val="00000A"/>
          <w:sz w:val="24"/>
          <w:szCs w:val="24"/>
          <w:lang w:eastAsia="zh-CN"/>
        </w:rPr>
        <w:t>BCC cannot be held liable for damages under any circumstances not specifically identified in this agreement. BCC cannot be held liable for the data or file that is located/stored in the Customers’ resource provided by NDC.</w:t>
      </w:r>
    </w:p>
    <w:p w:rsidR="0031316D" w:rsidRPr="0031316D" w:rsidRDefault="0031316D" w:rsidP="0031316D">
      <w:pPr>
        <w:suppressLineNumbers/>
        <w:suppressAutoHyphens/>
        <w:spacing w:before="240" w:after="120" w:line="240" w:lineRule="auto"/>
        <w:ind w:left="360"/>
        <w:jc w:val="both"/>
        <w:rPr>
          <w:rFonts w:ascii="Calibri" w:eastAsia="SimSun" w:hAnsi="Calibri" w:cs="Mangal"/>
          <w:b/>
          <w:color w:val="00000A"/>
          <w:sz w:val="24"/>
          <w:szCs w:val="24"/>
          <w:lang w:eastAsia="zh-CN"/>
        </w:rPr>
      </w:pPr>
    </w:p>
    <w:p w:rsidR="0031316D" w:rsidRPr="0031316D" w:rsidRDefault="0031316D" w:rsidP="0031316D">
      <w:pPr>
        <w:suppressLineNumbers/>
        <w:suppressAutoHyphens/>
        <w:spacing w:line="240" w:lineRule="auto"/>
        <w:jc w:val="both"/>
        <w:rPr>
          <w:rFonts w:ascii="Calibri" w:eastAsia="Times New Roman" w:hAnsi="Calibri" w:cs="Arial"/>
          <w:iCs/>
          <w:sz w:val="24"/>
          <w:szCs w:val="24"/>
        </w:rPr>
      </w:pPr>
      <w:r w:rsidRPr="0031316D">
        <w:rPr>
          <w:rFonts w:ascii="Calibri" w:eastAsia="Times New Roman" w:hAnsi="Calibri" w:cs="Arial"/>
          <w:iCs/>
          <w:sz w:val="24"/>
          <w:szCs w:val="24"/>
        </w:rPr>
        <w:t>As a Service Provider BCC will comply with the commitments depicted in the Service Level Agreement (SLA)</w:t>
      </w:r>
    </w:p>
    <w:p w:rsidR="0031316D" w:rsidRPr="0031316D" w:rsidRDefault="0031316D" w:rsidP="0031316D">
      <w:pPr>
        <w:suppressLineNumbers/>
        <w:suppressAutoHyphens/>
        <w:spacing w:before="240" w:after="120" w:line="240" w:lineRule="auto"/>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By entering into the Agreement, the Customer confirms that they have read, understood, accepted and agrees with the terms and conditions and undertakes to fulfill the obligations set out in the frame agreement.</w:t>
      </w:r>
    </w:p>
    <w:p w:rsidR="0031316D" w:rsidRPr="0031316D" w:rsidRDefault="0031316D" w:rsidP="0031316D">
      <w:pPr>
        <w:suppressLineNumbers/>
        <w:suppressAutoHyphens/>
        <w:spacing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31316D" w:rsidRPr="0031316D" w:rsidTr="00A246CB">
        <w:tc>
          <w:tcPr>
            <w:tcW w:w="3976" w:type="dxa"/>
          </w:tcPr>
          <w:p w:rsidR="0031316D" w:rsidRPr="0031316D" w:rsidRDefault="0031316D" w:rsidP="0031316D">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31316D">
              <w:rPr>
                <w:rFonts w:ascii="Calibri" w:eastAsia="SimSun" w:hAnsi="Calibri" w:cs="Mangal"/>
                <w:b/>
                <w:bCs/>
                <w:iCs/>
                <w:color w:val="00000A"/>
                <w:sz w:val="24"/>
                <w:szCs w:val="24"/>
                <w:lang w:eastAsia="zh-CN"/>
              </w:rPr>
              <w:t>1</w:t>
            </w:r>
            <w:r w:rsidRPr="0031316D">
              <w:rPr>
                <w:rFonts w:ascii="Calibri" w:eastAsia="SimSun" w:hAnsi="Calibri" w:cs="Mangal"/>
                <w:b/>
                <w:bCs/>
                <w:iCs/>
                <w:color w:val="00000A"/>
                <w:sz w:val="24"/>
                <w:szCs w:val="24"/>
                <w:vertAlign w:val="superscript"/>
                <w:lang w:eastAsia="zh-CN"/>
              </w:rPr>
              <w:t>st</w:t>
            </w:r>
            <w:r w:rsidRPr="0031316D">
              <w:rPr>
                <w:rFonts w:ascii="Calibri" w:eastAsia="SimSun" w:hAnsi="Calibri" w:cs="Mangal"/>
                <w:b/>
                <w:bCs/>
                <w:iCs/>
                <w:color w:val="00000A"/>
                <w:sz w:val="24"/>
                <w:szCs w:val="24"/>
                <w:lang w:eastAsia="zh-CN"/>
              </w:rPr>
              <w:t xml:space="preserve"> Party (BCC as Government NDC Service Provider)</w:t>
            </w:r>
          </w:p>
        </w:tc>
        <w:tc>
          <w:tcPr>
            <w:tcW w:w="1029"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31316D" w:rsidRPr="0031316D" w:rsidRDefault="0031316D" w:rsidP="0031316D">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31316D">
              <w:rPr>
                <w:rFonts w:ascii="Calibri" w:eastAsia="SimSun" w:hAnsi="Calibri" w:cs="Mangal"/>
                <w:b/>
                <w:bCs/>
                <w:iCs/>
                <w:color w:val="00000A"/>
                <w:sz w:val="24"/>
                <w:szCs w:val="24"/>
                <w:lang w:eastAsia="zh-CN"/>
              </w:rPr>
              <w:t>2</w:t>
            </w:r>
            <w:r w:rsidRPr="0031316D">
              <w:rPr>
                <w:rFonts w:ascii="Calibri" w:eastAsia="SimSun" w:hAnsi="Calibri" w:cs="Mangal"/>
                <w:b/>
                <w:bCs/>
                <w:iCs/>
                <w:color w:val="00000A"/>
                <w:sz w:val="24"/>
                <w:szCs w:val="24"/>
                <w:vertAlign w:val="superscript"/>
                <w:lang w:eastAsia="zh-CN"/>
              </w:rPr>
              <w:t>nd</w:t>
            </w:r>
            <w:r w:rsidRPr="0031316D">
              <w:rPr>
                <w:rFonts w:ascii="Calibri" w:eastAsia="SimSun" w:hAnsi="Calibri" w:cs="Mangal"/>
                <w:b/>
                <w:bCs/>
                <w:iCs/>
                <w:color w:val="00000A"/>
                <w:sz w:val="24"/>
                <w:szCs w:val="24"/>
                <w:lang w:eastAsia="zh-CN"/>
              </w:rPr>
              <w:t xml:space="preserve"> Party (Representative of Government Organization as Customer)</w:t>
            </w:r>
          </w:p>
        </w:tc>
      </w:tr>
      <w:tr w:rsidR="0031316D" w:rsidRPr="0031316D" w:rsidTr="00A246CB">
        <w:tc>
          <w:tcPr>
            <w:tcW w:w="3976"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Name:</w:t>
            </w:r>
          </w:p>
        </w:tc>
        <w:tc>
          <w:tcPr>
            <w:tcW w:w="1029"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Name:</w:t>
            </w:r>
          </w:p>
        </w:tc>
      </w:tr>
      <w:tr w:rsidR="0031316D" w:rsidRPr="0031316D" w:rsidTr="00A246CB">
        <w:tc>
          <w:tcPr>
            <w:tcW w:w="3976"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Designation:</w:t>
            </w:r>
          </w:p>
        </w:tc>
        <w:tc>
          <w:tcPr>
            <w:tcW w:w="1029"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Designation:</w:t>
            </w:r>
          </w:p>
        </w:tc>
      </w:tr>
      <w:tr w:rsidR="0031316D" w:rsidRPr="0031316D" w:rsidTr="00A246CB">
        <w:tc>
          <w:tcPr>
            <w:tcW w:w="3976"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Signature with Seal:</w:t>
            </w:r>
          </w:p>
        </w:tc>
        <w:tc>
          <w:tcPr>
            <w:tcW w:w="1029"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31316D" w:rsidRPr="0031316D" w:rsidRDefault="0031316D" w:rsidP="0031316D">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31316D">
              <w:rPr>
                <w:rFonts w:ascii="Calibri" w:eastAsia="SimSun" w:hAnsi="Calibri" w:cs="Mangal"/>
                <w:iCs/>
                <w:color w:val="00000A"/>
                <w:sz w:val="24"/>
                <w:szCs w:val="24"/>
                <w:lang w:eastAsia="zh-CN"/>
              </w:rPr>
              <w:t>Signature with Seal:</w:t>
            </w:r>
          </w:p>
        </w:tc>
      </w:tr>
    </w:tbl>
    <w:p w:rsidR="0031316D" w:rsidRPr="0031316D" w:rsidRDefault="0031316D" w:rsidP="0031316D">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rsidR="00061B0F" w:rsidRDefault="00061B0F"/>
    <w:sectPr w:rsidR="00061B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32" w:rsidRDefault="008A0D32">
      <w:pPr>
        <w:spacing w:after="0" w:line="240" w:lineRule="auto"/>
      </w:pPr>
      <w:r>
        <w:separator/>
      </w:r>
    </w:p>
  </w:endnote>
  <w:endnote w:type="continuationSeparator" w:id="0">
    <w:p w:rsidR="008A0D32" w:rsidRDefault="008A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6D" w:rsidRPr="00BB0E36" w:rsidRDefault="0031316D" w:rsidP="00BB0E36">
    <w:pPr>
      <w:pStyle w:val="Footer"/>
      <w:jc w:val="right"/>
      <w:rPr>
        <w:b/>
      </w:rPr>
    </w:pPr>
    <w:r>
      <w:rPr>
        <w:b/>
      </w:rPr>
      <w:t>Page 1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6D" w:rsidRPr="00BB0E36" w:rsidRDefault="0031316D" w:rsidP="00BB0E36">
    <w:pPr>
      <w:pStyle w:val="Footer"/>
      <w:jc w:val="right"/>
      <w:rPr>
        <w:b/>
      </w:rPr>
    </w:pPr>
    <w:r>
      <w:rPr>
        <w:b/>
      </w:rPr>
      <w:t>Page 2 of 5</w:t>
    </w:r>
  </w:p>
  <w:p w:rsidR="0031316D" w:rsidRDefault="00313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6D" w:rsidRPr="00BB0E36" w:rsidRDefault="0031316D" w:rsidP="00BB0E36">
    <w:pPr>
      <w:pStyle w:val="Footer"/>
      <w:jc w:val="right"/>
      <w:rPr>
        <w:b/>
      </w:rPr>
    </w:pPr>
    <w:r>
      <w:rPr>
        <w:b/>
      </w:rPr>
      <w:t>Page 3 of 5</w:t>
    </w:r>
  </w:p>
  <w:p w:rsidR="0031316D" w:rsidRDefault="003131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6D" w:rsidRPr="00BB0E36" w:rsidRDefault="0031316D" w:rsidP="00BB0E36">
    <w:pPr>
      <w:pStyle w:val="Footer"/>
      <w:jc w:val="right"/>
      <w:rPr>
        <w:b/>
      </w:rPr>
    </w:pPr>
    <w:r>
      <w:rPr>
        <w:b/>
      </w:rPr>
      <w:t>Page 4 of 5</w:t>
    </w:r>
  </w:p>
  <w:p w:rsidR="0031316D" w:rsidRDefault="003131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8D" w:rsidRPr="00BB0E36" w:rsidRDefault="00D9508D" w:rsidP="00BB0E36">
    <w:pPr>
      <w:pStyle w:val="Footer"/>
      <w:jc w:val="right"/>
      <w:rPr>
        <w:b/>
      </w:rPr>
    </w:pPr>
    <w:r>
      <w:rPr>
        <w:b/>
      </w:rPr>
      <w:t>Page 5 of 5</w:t>
    </w:r>
  </w:p>
  <w:p w:rsidR="00D9508D" w:rsidRDefault="00D95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32" w:rsidRDefault="008A0D32">
      <w:pPr>
        <w:spacing w:after="0" w:line="240" w:lineRule="auto"/>
      </w:pPr>
      <w:r>
        <w:separator/>
      </w:r>
    </w:p>
  </w:footnote>
  <w:footnote w:type="continuationSeparator" w:id="0">
    <w:p w:rsidR="008A0D32" w:rsidRDefault="008A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7C"/>
    <w:rsid w:val="00023A93"/>
    <w:rsid w:val="00061B0F"/>
    <w:rsid w:val="0031316D"/>
    <w:rsid w:val="003D2ADE"/>
    <w:rsid w:val="0046677C"/>
    <w:rsid w:val="008A0D32"/>
    <w:rsid w:val="00A068C4"/>
    <w:rsid w:val="00C92422"/>
    <w:rsid w:val="00D9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6D"/>
  </w:style>
  <w:style w:type="table" w:styleId="TableGrid">
    <w:name w:val="Table Grid"/>
    <w:basedOn w:val="TableNormal"/>
    <w:uiPriority w:val="39"/>
    <w:rsid w:val="0031316D"/>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6D"/>
  </w:style>
  <w:style w:type="table" w:styleId="TableGrid">
    <w:name w:val="Table Grid"/>
    <w:basedOn w:val="TableNormal"/>
    <w:uiPriority w:val="39"/>
    <w:rsid w:val="0031316D"/>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dc:creator>
  <cp:keywords/>
  <dc:description/>
  <cp:lastModifiedBy>Engr.Mamun</cp:lastModifiedBy>
  <cp:revision>5</cp:revision>
  <dcterms:created xsi:type="dcterms:W3CDTF">2023-11-27T06:53:00Z</dcterms:created>
  <dcterms:modified xsi:type="dcterms:W3CDTF">2023-12-11T07:19:00Z</dcterms:modified>
</cp:coreProperties>
</file>